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342BF">
      <w:pPr>
        <w:widowControl/>
        <w:jc w:val="left"/>
        <w:textAlignment w:val="baseline"/>
        <w:outlineLvl w:val="1"/>
        <w:rPr>
          <w:rFonts w:ascii="inherit" w:hAnsi="inherit" w:eastAsia="宋体" w:cs="宋体"/>
          <w:color w:val="474747"/>
          <w:spacing w:val="10"/>
          <w:kern w:val="0"/>
          <w:sz w:val="52"/>
          <w:szCs w:val="52"/>
        </w:rPr>
      </w:pPr>
      <w:r>
        <w:rPr>
          <w:rFonts w:ascii="inherit" w:hAnsi="inherit" w:eastAsia="宋体" w:cs="宋体"/>
          <w:color w:val="474747"/>
          <w:spacing w:val="10"/>
          <w:kern w:val="0"/>
          <w:sz w:val="52"/>
          <w:szCs w:val="52"/>
        </w:rPr>
        <w:t>禁止使用剛果非法礦區金屬宣告書</w:t>
      </w:r>
    </w:p>
    <w:p w14:paraId="7C2ABC54">
      <w:pPr>
        <w:widowControl/>
        <w:jc w:val="left"/>
        <w:textAlignment w:val="baseline"/>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 </w:t>
      </w:r>
      <w:r>
        <w:drawing>
          <wp:inline distT="0" distB="0" distL="0" distR="0">
            <wp:extent cx="9204960" cy="4214495"/>
            <wp:effectExtent l="0" t="0" r="1524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9204960" cy="4214495"/>
                    </a:xfrm>
                    <a:prstGeom prst="rect">
                      <a:avLst/>
                    </a:prstGeom>
                  </pic:spPr>
                </pic:pic>
              </a:graphicData>
            </a:graphic>
          </wp:inline>
        </w:drawing>
      </w:r>
      <w:bookmarkStart w:id="0" w:name="_GoBack"/>
      <w:bookmarkEnd w:id="0"/>
    </w:p>
    <w:p w14:paraId="5C27DC94">
      <w:pPr>
        <w:widowControl/>
        <w:jc w:val="left"/>
        <w:textAlignment w:val="baseline"/>
        <w:outlineLvl w:val="2"/>
        <w:rPr>
          <w:rFonts w:ascii="inherit" w:hAnsi="inherit" w:eastAsia="宋体" w:cs="宋体"/>
          <w:color w:val="474747"/>
          <w:spacing w:val="10"/>
          <w:kern w:val="0"/>
          <w:sz w:val="44"/>
          <w:szCs w:val="44"/>
        </w:rPr>
      </w:pPr>
      <w:r>
        <w:rPr>
          <w:rFonts w:ascii="inherit" w:hAnsi="inherit" w:eastAsia="宋体" w:cs="宋体"/>
          <w:color w:val="474747"/>
          <w:spacing w:val="10"/>
          <w:kern w:val="0"/>
          <w:sz w:val="44"/>
          <w:szCs w:val="44"/>
        </w:rPr>
        <w:t>前言</w:t>
      </w:r>
    </w:p>
    <w:p w14:paraId="20A832B2">
      <w:pPr>
        <w:widowControl/>
        <w:jc w:val="left"/>
        <w:textAlignment w:val="baseline"/>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 </w:t>
      </w:r>
    </w:p>
    <w:p w14:paraId="0AC6F86B">
      <w:pPr>
        <w:widowControl/>
        <w:spacing w:line="360" w:lineRule="auto"/>
        <w:jc w:val="left"/>
        <w:textAlignment w:val="baseline"/>
        <w:rPr>
          <w:rFonts w:cs="宋体" w:asciiTheme="minorEastAsia" w:hAnsiTheme="minorEastAsia"/>
          <w:color w:val="474747"/>
          <w:spacing w:val="14"/>
          <w:kern w:val="0"/>
          <w:sz w:val="28"/>
          <w:szCs w:val="28"/>
        </w:rPr>
      </w:pPr>
      <w:r>
        <w:rPr>
          <w:rFonts w:cs="宋体" w:asciiTheme="minorEastAsia" w:hAnsiTheme="minorEastAsia"/>
          <w:color w:val="474747"/>
          <w:spacing w:val="14"/>
          <w:kern w:val="0"/>
          <w:sz w:val="28"/>
          <w:szCs w:val="28"/>
        </w:rPr>
        <w:t>地處非洲中心地帶的剛果民主共和國（剛果金）擁有全世界最豐富的黃金礦藏，除此之外，剛果的地下還蘊藏有豐富的鑽石、有色金屬和稀有金屬資源，享有“地質奇跡”之稱，這本該是個富饒繁榮的國家。但數十年來各種力量對資源的搶奪，導致剛果內戰連連不斷，超過 400 萬剛果人慘死在這不停歇的爭奪中。當地武裝勢力和跨國公司相勾結，強迫當地平民挖礦，有時還拒付工資。他們發了大財，而剛果民眾卻忍受著非人的折磨。 </w:t>
      </w:r>
      <w:r>
        <w:rPr>
          <w:rFonts w:cs="宋体" w:asciiTheme="minorEastAsia" w:hAnsiTheme="minorEastAsia"/>
          <w:color w:val="474747"/>
          <w:spacing w:val="14"/>
          <w:kern w:val="0"/>
          <w:sz w:val="28"/>
          <w:szCs w:val="28"/>
        </w:rPr>
        <w:br w:type="textWrapping"/>
      </w:r>
      <w:r>
        <w:rPr>
          <w:rFonts w:cs="宋体" w:asciiTheme="minorEastAsia" w:hAnsiTheme="minorEastAsia"/>
          <w:color w:val="474747"/>
          <w:spacing w:val="14"/>
          <w:kern w:val="0"/>
          <w:sz w:val="28"/>
          <w:szCs w:val="28"/>
        </w:rPr>
        <w:t>國際組織“全球觀察”機構的負責人帕特里克•艾雷說：“這被稱為資源的詛咒。從殖民統治時期開始到現在，剛果（金）一直就是豐富的資源臨時儲存地，人民從來都不是這些資源的真正受益者。” </w:t>
      </w:r>
      <w:r>
        <w:rPr>
          <w:rFonts w:cs="宋体" w:asciiTheme="minorEastAsia" w:hAnsiTheme="minorEastAsia"/>
          <w:color w:val="474747"/>
          <w:spacing w:val="14"/>
          <w:kern w:val="0"/>
          <w:sz w:val="28"/>
          <w:szCs w:val="28"/>
        </w:rPr>
        <w:br w:type="textWrapping"/>
      </w:r>
      <w:r>
        <w:rPr>
          <w:rFonts w:cs="宋体" w:asciiTheme="minorEastAsia" w:hAnsiTheme="minorEastAsia"/>
          <w:color w:val="474747"/>
          <w:spacing w:val="14"/>
          <w:kern w:val="0"/>
          <w:sz w:val="28"/>
          <w:szCs w:val="28"/>
        </w:rPr>
        <w:t>因此，來自於剛果民主共和國非法礦區的錫石、黑鎢、鈳鉭鐵礦和黃金等稀有金屬被媒體稱為“血礦”。 這些金屬應用在我們熟悉的資訊和通信技術產品上，如手機，筆記本電腦。</w:t>
      </w:r>
    </w:p>
    <w:p w14:paraId="429CC39C">
      <w:pPr>
        <w:widowControl/>
        <w:jc w:val="left"/>
        <w:textAlignment w:val="baseline"/>
        <w:rPr>
          <w:rFonts w:ascii="inherit" w:hAnsi="inherit" w:eastAsia="宋体" w:cs="宋体"/>
          <w:color w:val="474747"/>
          <w:spacing w:val="14"/>
          <w:kern w:val="0"/>
          <w:sz w:val="24"/>
          <w:szCs w:val="24"/>
        </w:rPr>
      </w:pPr>
    </w:p>
    <w:p w14:paraId="7DEE24B6">
      <w:pPr>
        <w:widowControl/>
        <w:jc w:val="left"/>
        <w:textAlignment w:val="baseline"/>
        <w:rPr>
          <w:rFonts w:ascii="inherit" w:hAnsi="inherit" w:eastAsia="宋体" w:cs="宋体"/>
          <w:color w:val="474747"/>
          <w:spacing w:val="14"/>
          <w:kern w:val="0"/>
          <w:sz w:val="24"/>
          <w:szCs w:val="24"/>
        </w:rPr>
      </w:pPr>
    </w:p>
    <w:p w14:paraId="305024CC">
      <w:pPr>
        <w:widowControl/>
        <w:jc w:val="left"/>
        <w:textAlignment w:val="baseline"/>
        <w:rPr>
          <w:rFonts w:ascii="inherit" w:hAnsi="inherit" w:eastAsia="宋体" w:cs="宋体"/>
          <w:color w:val="474747"/>
          <w:spacing w:val="14"/>
          <w:kern w:val="0"/>
          <w:sz w:val="24"/>
          <w:szCs w:val="24"/>
        </w:rPr>
      </w:pPr>
    </w:p>
    <w:p w14:paraId="65CA98B7">
      <w:pPr>
        <w:widowControl/>
        <w:jc w:val="left"/>
        <w:textAlignment w:val="baseline"/>
        <w:rPr>
          <w:rFonts w:hint="eastAsia" w:ascii="inherit" w:hAnsi="inherit" w:eastAsia="宋体" w:cs="宋体"/>
          <w:color w:val="474747"/>
          <w:spacing w:val="14"/>
          <w:kern w:val="0"/>
          <w:sz w:val="24"/>
          <w:szCs w:val="24"/>
        </w:rPr>
      </w:pPr>
    </w:p>
    <w:p w14:paraId="47E0BC84">
      <w:pPr>
        <w:widowControl/>
        <w:jc w:val="left"/>
        <w:textAlignment w:val="baseline"/>
        <w:outlineLvl w:val="2"/>
        <w:rPr>
          <w:rFonts w:ascii="inherit" w:hAnsi="inherit" w:eastAsia="宋体" w:cs="宋体"/>
          <w:color w:val="474747"/>
          <w:spacing w:val="10"/>
          <w:kern w:val="0"/>
          <w:sz w:val="40"/>
          <w:szCs w:val="40"/>
        </w:rPr>
      </w:pPr>
      <w:r>
        <w:rPr>
          <w:rFonts w:ascii="inherit" w:hAnsi="inherit" w:eastAsia="宋体" w:cs="宋体"/>
          <w:color w:val="474747"/>
          <w:spacing w:val="10"/>
          <w:kern w:val="0"/>
          <w:sz w:val="40"/>
          <w:szCs w:val="40"/>
        </w:rPr>
        <w:t>電子零組件所應用到的金屬及來源</w:t>
      </w:r>
    </w:p>
    <w:p w14:paraId="3143F776">
      <w:pPr>
        <w:widowControl/>
        <w:jc w:val="left"/>
        <w:textAlignment w:val="baseline"/>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 </w:t>
      </w:r>
    </w:p>
    <w:p w14:paraId="7B5F62D0">
      <w:pPr>
        <w:widowControl/>
        <w:spacing w:line="360" w:lineRule="auto"/>
        <w:jc w:val="left"/>
        <w:textAlignment w:val="baseline"/>
        <w:rPr>
          <w:rFonts w:hint="eastAsia"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電子零組件所應用到的金屬和用量因產品的種類，型號而有所不同，下表歸納了電子零組件主要用到的金屬，使用來源於剛果民主共和國非法礦區的鈷，金，鉭，錫，鈀，鎢所引起的社會環境問題已引起了終端客戶和 NGO 的關注。</w:t>
      </w:r>
    </w:p>
    <w:p w14:paraId="2D9768A6">
      <w:pPr>
        <w:widowControl/>
        <w:jc w:val="left"/>
        <w:textAlignment w:val="baseline"/>
        <w:rPr>
          <w:rFonts w:ascii="Arial" w:hAnsi="Arial" w:eastAsia="宋体" w:cs="Arial"/>
          <w:b/>
          <w:bCs/>
          <w:color w:val="474747"/>
          <w:kern w:val="0"/>
          <w:sz w:val="24"/>
          <w:szCs w:val="24"/>
        </w:rPr>
      </w:pPr>
      <w:r>
        <w:drawing>
          <wp:inline distT="0" distB="0" distL="0" distR="0">
            <wp:extent cx="8686800" cy="396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8726978" cy="3981041"/>
                    </a:xfrm>
                    <a:prstGeom prst="rect">
                      <a:avLst/>
                    </a:prstGeom>
                  </pic:spPr>
                </pic:pic>
              </a:graphicData>
            </a:graphic>
          </wp:inline>
        </w:drawing>
      </w:r>
    </w:p>
    <w:p w14:paraId="40486718">
      <w:pPr>
        <w:widowControl/>
        <w:jc w:val="left"/>
        <w:textAlignment w:val="baseline"/>
        <w:rPr>
          <w:rFonts w:hint="eastAsia"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br w:type="textWrapping"/>
      </w:r>
    </w:p>
    <w:p w14:paraId="45E557B8">
      <w:pPr>
        <w:widowControl/>
        <w:jc w:val="left"/>
        <w:textAlignment w:val="baseline"/>
        <w:rPr>
          <w:rFonts w:ascii="inherit" w:hAnsi="inherit" w:eastAsia="宋体" w:cs="宋体"/>
          <w:color w:val="474747"/>
          <w:spacing w:val="14"/>
          <w:kern w:val="0"/>
          <w:sz w:val="24"/>
          <w:szCs w:val="24"/>
        </w:rPr>
      </w:pPr>
    </w:p>
    <w:p w14:paraId="21147EAC">
      <w:pPr>
        <w:widowControl/>
        <w:jc w:val="left"/>
        <w:textAlignment w:val="baseline"/>
        <w:rPr>
          <w:rFonts w:ascii="inherit" w:hAnsi="inherit" w:eastAsia="宋体" w:cs="宋体"/>
          <w:color w:val="474747"/>
          <w:spacing w:val="14"/>
          <w:kern w:val="0"/>
          <w:sz w:val="24"/>
          <w:szCs w:val="24"/>
        </w:rPr>
      </w:pPr>
      <w:r>
        <w:rPr>
          <w:rFonts w:cs="宋体" w:asciiTheme="minorEastAsia" w:hAnsiTheme="minorEastAsia"/>
          <w:color w:val="474747"/>
          <w:spacing w:val="14"/>
          <w:kern w:val="0"/>
          <w:sz w:val="24"/>
          <w:szCs w:val="24"/>
        </w:rPr>
        <w:t>金屬有多種來源，包括再循環金屬、原礦和庫存金屬，其中原礦為主要來源。以鉭為例，主要來源如圖</w:t>
      </w:r>
      <w:r>
        <w:rPr>
          <w:rFonts w:ascii="inherit" w:hAnsi="inherit" w:eastAsia="宋体" w:cs="宋体"/>
          <w:color w:val="474747"/>
          <w:spacing w:val="14"/>
          <w:kern w:val="0"/>
          <w:sz w:val="24"/>
          <w:szCs w:val="24"/>
        </w:rPr>
        <w:t>：</w:t>
      </w:r>
    </w:p>
    <w:p w14:paraId="52E300A7">
      <w:pPr>
        <w:widowControl/>
        <w:jc w:val="left"/>
        <w:textAlignment w:val="baseline"/>
        <w:rPr>
          <w:rFonts w:hint="eastAsia" w:ascii="inherit" w:hAnsi="inherit" w:eastAsia="宋体" w:cs="宋体"/>
          <w:color w:val="474747"/>
          <w:spacing w:val="14"/>
          <w:kern w:val="0"/>
          <w:sz w:val="24"/>
          <w:szCs w:val="24"/>
        </w:rPr>
      </w:pPr>
      <w:r>
        <w:drawing>
          <wp:inline distT="0" distB="0" distL="0" distR="0">
            <wp:extent cx="5311775" cy="308991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5324496" cy="3097452"/>
                    </a:xfrm>
                    <a:prstGeom prst="rect">
                      <a:avLst/>
                    </a:prstGeom>
                  </pic:spPr>
                </pic:pic>
              </a:graphicData>
            </a:graphic>
          </wp:inline>
        </w:drawing>
      </w:r>
    </w:p>
    <w:p w14:paraId="6FC1B956">
      <w:pPr>
        <w:widowControl/>
        <w:jc w:val="left"/>
        <w:textAlignment w:val="baseline"/>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br w:type="textWrapping"/>
      </w:r>
      <w:r>
        <w:rPr>
          <w:rFonts w:ascii="inherit" w:hAnsi="inherit" w:eastAsia="宋体" w:cs="宋体"/>
          <w:color w:val="474747"/>
          <w:spacing w:val="14"/>
          <w:kern w:val="0"/>
          <w:sz w:val="24"/>
          <w:szCs w:val="24"/>
        </w:rPr>
        <w:t> </w:t>
      </w:r>
    </w:p>
    <w:p w14:paraId="569CFD68">
      <w:pPr>
        <w:widowControl/>
        <w:jc w:val="left"/>
        <w:textAlignment w:val="baseline"/>
        <w:rPr>
          <w:rFonts w:ascii="inherit" w:hAnsi="inherit" w:eastAsia="宋体" w:cs="宋体"/>
          <w:color w:val="474747"/>
          <w:kern w:val="0"/>
          <w:sz w:val="24"/>
          <w:szCs w:val="24"/>
        </w:rPr>
      </w:pPr>
      <w:r>
        <w:rPr>
          <w:rFonts w:hint="eastAsia" w:ascii="inherit" w:hAnsi="inherit" w:eastAsia="宋体" w:cs="宋体"/>
          <w:color w:val="474747"/>
          <w:kern w:val="0"/>
          <w:sz w:val="24"/>
          <w:szCs w:val="24"/>
        </w:rPr>
        <mc:AlternateContent>
          <mc:Choice Requires="wps">
            <w:drawing>
              <wp:inline distT="0" distB="0" distL="0" distR="0">
                <wp:extent cx="304800" cy="304800"/>
                <wp:effectExtent l="0" t="0" r="0" b="0"/>
                <wp:docPr id="2" name="矩形 2" descr="https://www.sunrex.com.tw/images/editor-115.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alt="https://www.sunrex.com.tw/images/editor-115.svg"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fMlnTSAAAAAwEAAA8AAAAAAAAAAQAgAAAAIgAAAGRycy9kb3ducmV2LnhtbFBLAQIUABQAAAAI&#10;AIdO4kDjYJXPLAIAAEcEAAAOAAAAAAAAAAEAIAAAACEBAABkcnMvZTJvRG9jLnhtbFBLBQYAAAAA&#10;BgAGAFkBAAC/BQAAAAA=&#10;">
                <v:fill on="f" focussize="0,0"/>
                <v:stroke on="f"/>
                <v:imagedata o:title=""/>
                <o:lock v:ext="edit" aspectratio="t"/>
                <w10:wrap type="none"/>
                <w10:anchorlock/>
              </v:rect>
            </w:pict>
          </mc:Fallback>
        </mc:AlternateContent>
      </w:r>
    </w:p>
    <w:p w14:paraId="3F1BB9D7">
      <w:pPr>
        <w:widowControl/>
        <w:jc w:val="left"/>
        <w:textAlignment w:val="baseline"/>
        <w:rPr>
          <w:rFonts w:hint="eastAsia" w:ascii="inherit" w:hAnsi="inherit" w:eastAsia="宋体" w:cs="宋体"/>
          <w:color w:val="474747"/>
          <w:kern w:val="0"/>
          <w:sz w:val="24"/>
          <w:szCs w:val="24"/>
        </w:rPr>
      </w:pPr>
    </w:p>
    <w:p w14:paraId="50A54961">
      <w:pPr>
        <w:widowControl/>
        <w:jc w:val="left"/>
        <w:textAlignment w:val="baseline"/>
        <w:outlineLvl w:val="2"/>
        <w:rPr>
          <w:rFonts w:hint="eastAsia" w:ascii="inherit" w:hAnsi="inherit" w:eastAsia="宋体" w:cs="宋体"/>
          <w:color w:val="474747"/>
          <w:spacing w:val="10"/>
          <w:kern w:val="0"/>
          <w:sz w:val="40"/>
          <w:szCs w:val="40"/>
        </w:rPr>
      </w:pPr>
      <w:r>
        <w:rPr>
          <w:rFonts w:ascii="inherit" w:hAnsi="inherit" w:eastAsia="宋体" w:cs="宋体"/>
          <w:color w:val="474747"/>
          <w:spacing w:val="10"/>
          <w:kern w:val="0"/>
          <w:sz w:val="40"/>
          <w:szCs w:val="40"/>
        </w:rPr>
        <w:t>採礦所引起的社會環境問題</w:t>
      </w:r>
    </w:p>
    <w:p w14:paraId="12AD1E6E">
      <w:pPr>
        <w:widowControl/>
        <w:jc w:val="left"/>
        <w:textAlignment w:val="baseline"/>
        <w:outlineLvl w:val="2"/>
        <w:rPr>
          <w:rFonts w:hint="eastAsia" w:ascii="inherit" w:hAnsi="inherit" w:eastAsia="宋体" w:cs="宋体"/>
          <w:color w:val="474747"/>
          <w:spacing w:val="10"/>
          <w:kern w:val="0"/>
          <w:sz w:val="40"/>
          <w:szCs w:val="40"/>
        </w:rPr>
      </w:pPr>
    </w:p>
    <w:p w14:paraId="4B524358">
      <w:pPr>
        <w:widowControl/>
        <w:spacing w:line="276" w:lineRule="auto"/>
        <w:jc w:val="left"/>
        <w:textAlignment w:val="baseline"/>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金屬採礦對發達國家和發展中國家帶來了巨大的經濟效益，比如，加速經濟增長，提高生活質量和優化公共基礎設施等。同時，在很多方面，採礦也帶來了很多社會和環境負面影響。我們必須認識到採礦所帶來的利益是以社會和環境問題為代價的。</w:t>
      </w:r>
    </w:p>
    <w:p w14:paraId="129DE858">
      <w:pPr>
        <w:widowControl/>
        <w:spacing w:line="276" w:lineRule="auto"/>
        <w:jc w:val="left"/>
        <w:textAlignment w:val="baseline"/>
        <w:rPr>
          <w:rFonts w:hint="eastAsia" w:ascii="inherit" w:hAnsi="inherit" w:eastAsia="宋体" w:cs="宋体"/>
          <w:color w:val="474747"/>
          <w:spacing w:val="14"/>
          <w:kern w:val="0"/>
          <w:sz w:val="24"/>
          <w:szCs w:val="24"/>
        </w:rPr>
      </w:pPr>
    </w:p>
    <w:p w14:paraId="33696623">
      <w:pPr>
        <w:widowControl/>
        <w:numPr>
          <w:ilvl w:val="0"/>
          <w:numId w:val="1"/>
        </w:numPr>
        <w:spacing w:line="276" w:lineRule="auto"/>
        <w:ind w:left="300"/>
        <w:jc w:val="left"/>
        <w:textAlignment w:val="baseline"/>
        <w:outlineLvl w:val="5"/>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環境問題</w:t>
      </w:r>
    </w:p>
    <w:p w14:paraId="32068C75">
      <w:pPr>
        <w:widowControl/>
        <w:spacing w:line="276" w:lineRule="auto"/>
        <w:ind w:left="300"/>
        <w:jc w:val="left"/>
        <w:textAlignment w:val="baseline"/>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從環境問題考慮，大多數金屬的採礦過程對環境的影響如下：</w:t>
      </w:r>
    </w:p>
    <w:p w14:paraId="588D3141">
      <w:pPr>
        <w:widowControl/>
        <w:numPr>
          <w:ilvl w:val="1"/>
          <w:numId w:val="1"/>
        </w:numPr>
        <w:spacing w:line="276" w:lineRule="auto"/>
        <w:ind w:left="600"/>
        <w:jc w:val="left"/>
        <w:textAlignment w:val="baseline"/>
        <w:rPr>
          <w:rFonts w:ascii="inherit" w:hAnsi="inherit" w:eastAsia="宋体" w:cs="宋体"/>
          <w:color w:val="474747"/>
          <w:kern w:val="0"/>
          <w:sz w:val="24"/>
          <w:szCs w:val="24"/>
        </w:rPr>
      </w:pPr>
      <w:r>
        <w:rPr>
          <w:rFonts w:ascii="inherit" w:hAnsi="inherit" w:eastAsia="宋体" w:cs="宋体"/>
          <w:color w:val="474747"/>
          <w:kern w:val="0"/>
          <w:sz w:val="24"/>
          <w:szCs w:val="24"/>
        </w:rPr>
        <w:t>破壞土地及生態環境，採礦停止後仍有深遠影響。</w:t>
      </w:r>
    </w:p>
    <w:p w14:paraId="049C4354">
      <w:pPr>
        <w:widowControl/>
        <w:numPr>
          <w:ilvl w:val="1"/>
          <w:numId w:val="1"/>
        </w:numPr>
        <w:spacing w:before="60" w:line="276" w:lineRule="auto"/>
        <w:ind w:left="600"/>
        <w:jc w:val="left"/>
        <w:textAlignment w:val="baseline"/>
        <w:rPr>
          <w:rFonts w:ascii="inherit" w:hAnsi="inherit" w:eastAsia="宋体" w:cs="宋体"/>
          <w:color w:val="474747"/>
          <w:kern w:val="0"/>
          <w:sz w:val="24"/>
          <w:szCs w:val="24"/>
        </w:rPr>
      </w:pPr>
      <w:r>
        <w:rPr>
          <w:rFonts w:ascii="inherit" w:hAnsi="inherit" w:eastAsia="宋体" w:cs="宋体"/>
          <w:color w:val="474747"/>
          <w:kern w:val="0"/>
          <w:sz w:val="24"/>
          <w:szCs w:val="24"/>
        </w:rPr>
        <w:t>造成水體污染。</w:t>
      </w:r>
    </w:p>
    <w:p w14:paraId="3EB22841">
      <w:pPr>
        <w:widowControl/>
        <w:numPr>
          <w:ilvl w:val="1"/>
          <w:numId w:val="1"/>
        </w:numPr>
        <w:spacing w:before="60" w:line="276" w:lineRule="auto"/>
        <w:ind w:left="600"/>
        <w:jc w:val="left"/>
        <w:textAlignment w:val="baseline"/>
        <w:rPr>
          <w:rFonts w:hint="eastAsia" w:ascii="inherit" w:hAnsi="inherit" w:eastAsia="宋体" w:cs="宋体"/>
          <w:color w:val="474747"/>
          <w:kern w:val="0"/>
          <w:sz w:val="24"/>
          <w:szCs w:val="24"/>
        </w:rPr>
      </w:pPr>
      <w:r>
        <w:rPr>
          <w:rFonts w:ascii="inherit" w:hAnsi="inherit" w:eastAsia="宋体" w:cs="宋体"/>
          <w:color w:val="474747"/>
          <w:kern w:val="0"/>
          <w:sz w:val="24"/>
          <w:szCs w:val="24"/>
        </w:rPr>
        <w:t>採礦，熔煉，精煉將造成溫室氣體排放，空氣酸化污染。</w:t>
      </w:r>
    </w:p>
    <w:p w14:paraId="345167F7">
      <w:pPr>
        <w:widowControl/>
        <w:numPr>
          <w:ilvl w:val="0"/>
          <w:numId w:val="1"/>
        </w:numPr>
        <w:spacing w:line="276" w:lineRule="auto"/>
        <w:ind w:left="300"/>
        <w:jc w:val="left"/>
        <w:textAlignment w:val="baseline"/>
        <w:outlineLvl w:val="5"/>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社會分裂問題</w:t>
      </w:r>
    </w:p>
    <w:p w14:paraId="012C74A5">
      <w:pPr>
        <w:widowControl/>
        <w:spacing w:line="276" w:lineRule="auto"/>
        <w:ind w:left="300"/>
        <w:jc w:val="left"/>
        <w:textAlignment w:val="baseline"/>
        <w:rPr>
          <w:rFonts w:hint="eastAsia"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儘管採礦促進了教育，衛生保健，基礎設施（如醫院，學校，鐵路，通信網絡）等發展，然而，在採礦過程中，仍然存在很多社會問題，包括賣淫和愛滋病的傳播，區域暴力衝突。</w:t>
      </w:r>
    </w:p>
    <w:p w14:paraId="703D846C">
      <w:pPr>
        <w:widowControl/>
        <w:numPr>
          <w:ilvl w:val="0"/>
          <w:numId w:val="1"/>
        </w:numPr>
        <w:spacing w:line="276" w:lineRule="auto"/>
        <w:ind w:left="300"/>
        <w:jc w:val="left"/>
        <w:textAlignment w:val="baseline"/>
        <w:outlineLvl w:val="5"/>
        <w:rPr>
          <w:rFonts w:hint="eastAsia"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強迫勞動</w:t>
      </w:r>
    </w:p>
    <w:p w14:paraId="13758F56">
      <w:pPr>
        <w:widowControl/>
        <w:numPr>
          <w:ilvl w:val="0"/>
          <w:numId w:val="1"/>
        </w:numPr>
        <w:spacing w:line="276" w:lineRule="auto"/>
        <w:ind w:left="300"/>
        <w:jc w:val="left"/>
        <w:textAlignment w:val="baseline"/>
        <w:outlineLvl w:val="5"/>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濫用童工</w:t>
      </w:r>
    </w:p>
    <w:p w14:paraId="4665A112">
      <w:pPr>
        <w:widowControl/>
        <w:numPr>
          <w:ilvl w:val="0"/>
          <w:numId w:val="1"/>
        </w:numPr>
        <w:spacing w:line="276" w:lineRule="auto"/>
        <w:ind w:left="300"/>
        <w:jc w:val="left"/>
        <w:textAlignment w:val="baseline"/>
        <w:outlineLvl w:val="5"/>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女工權利受侵犯</w:t>
      </w:r>
    </w:p>
    <w:p w14:paraId="3F1B400B">
      <w:pPr>
        <w:widowControl/>
        <w:numPr>
          <w:ilvl w:val="0"/>
          <w:numId w:val="1"/>
        </w:numPr>
        <w:spacing w:line="276" w:lineRule="auto"/>
        <w:ind w:left="300"/>
        <w:jc w:val="left"/>
        <w:textAlignment w:val="baseline"/>
        <w:outlineLvl w:val="5"/>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未依法支付工資給工人</w:t>
      </w:r>
    </w:p>
    <w:p w14:paraId="3DA28A26">
      <w:pPr>
        <w:widowControl/>
        <w:numPr>
          <w:ilvl w:val="0"/>
          <w:numId w:val="1"/>
        </w:numPr>
        <w:spacing w:line="276" w:lineRule="auto"/>
        <w:ind w:left="300"/>
        <w:jc w:val="left"/>
        <w:textAlignment w:val="baseline"/>
        <w:outlineLvl w:val="5"/>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人權侵犯和衝突</w:t>
      </w:r>
    </w:p>
    <w:p w14:paraId="25CF400D">
      <w:pPr>
        <w:widowControl/>
        <w:numPr>
          <w:ilvl w:val="0"/>
          <w:numId w:val="1"/>
        </w:numPr>
        <w:spacing w:line="276" w:lineRule="auto"/>
        <w:ind w:left="300"/>
        <w:jc w:val="left"/>
        <w:textAlignment w:val="baseline"/>
        <w:outlineLvl w:val="5"/>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健康和安全問題</w:t>
      </w:r>
    </w:p>
    <w:p w14:paraId="6850B073">
      <w:pPr>
        <w:widowControl/>
        <w:spacing w:line="276" w:lineRule="auto"/>
        <w:jc w:val="left"/>
        <w:textAlignment w:val="baseline"/>
        <w:outlineLvl w:val="5"/>
        <w:rPr>
          <w:rFonts w:hint="eastAsia" w:ascii="inherit" w:hAnsi="inherit" w:eastAsia="宋体" w:cs="宋体"/>
          <w:color w:val="474747"/>
          <w:spacing w:val="14"/>
          <w:kern w:val="0"/>
          <w:sz w:val="22"/>
        </w:rPr>
      </w:pPr>
    </w:p>
    <w:p w14:paraId="18D5F02E">
      <w:pPr>
        <w:widowControl/>
        <w:jc w:val="left"/>
        <w:textAlignment w:val="baseline"/>
        <w:outlineLvl w:val="2"/>
        <w:rPr>
          <w:rFonts w:ascii="inherit" w:hAnsi="inherit" w:eastAsia="宋体" w:cs="宋体"/>
          <w:color w:val="474747"/>
          <w:spacing w:val="10"/>
          <w:kern w:val="0"/>
          <w:sz w:val="44"/>
          <w:szCs w:val="44"/>
        </w:rPr>
      </w:pPr>
      <w:r>
        <w:rPr>
          <w:rFonts w:ascii="inherit" w:hAnsi="inherit" w:eastAsia="宋体" w:cs="宋体"/>
          <w:color w:val="474747"/>
          <w:spacing w:val="10"/>
          <w:kern w:val="0"/>
          <w:sz w:val="44"/>
          <w:szCs w:val="44"/>
        </w:rPr>
        <w:t>相關方面的關注</w:t>
      </w:r>
    </w:p>
    <w:p w14:paraId="110899C8">
      <w:pPr>
        <w:widowControl/>
        <w:spacing w:line="276" w:lineRule="auto"/>
        <w:jc w:val="left"/>
        <w:textAlignment w:val="baseline"/>
        <w:rPr>
          <w:rFonts w:ascii="inherit" w:hAnsi="inherit" w:eastAsia="宋体" w:cs="宋体"/>
          <w:color w:val="474747"/>
          <w:spacing w:val="14"/>
          <w:kern w:val="0"/>
          <w:sz w:val="24"/>
          <w:szCs w:val="24"/>
        </w:rPr>
      </w:pPr>
      <w:r>
        <w:rPr>
          <w:rFonts w:ascii="inherit" w:hAnsi="inherit" w:eastAsia="宋体" w:cs="宋体"/>
          <w:color w:val="474747"/>
          <w:spacing w:val="14"/>
          <w:kern w:val="0"/>
          <w:sz w:val="24"/>
          <w:szCs w:val="24"/>
        </w:rPr>
        <w:t> </w:t>
      </w:r>
    </w:p>
    <w:p w14:paraId="676DE85B">
      <w:pPr>
        <w:widowControl/>
        <w:spacing w:line="360" w:lineRule="auto"/>
        <w:jc w:val="left"/>
        <w:textAlignment w:val="baseline"/>
        <w:rPr>
          <w:rFonts w:cs="宋体" w:asciiTheme="minorEastAsia" w:hAnsiTheme="minorEastAsia"/>
          <w:color w:val="474747"/>
          <w:spacing w:val="14"/>
          <w:kern w:val="0"/>
          <w:sz w:val="24"/>
          <w:szCs w:val="24"/>
        </w:rPr>
      </w:pPr>
      <w:r>
        <w:rPr>
          <w:rFonts w:cs="宋体" w:asciiTheme="minorEastAsia" w:hAnsiTheme="minorEastAsia"/>
          <w:color w:val="474747"/>
          <w:spacing w:val="14"/>
          <w:kern w:val="0"/>
          <w:sz w:val="24"/>
          <w:szCs w:val="24"/>
        </w:rPr>
        <w:t>剛果民主共和國礦產所引發的人權侵犯和衝突問題已引起了電子行業公民聯盟（EICC）全球電子可持續性倡議會（GeSI）的高度關注，它們成立了一個工作組增進對採礦水平上社會合環境狀況的理解，並決定是否和如何採取行動來改進工作環境。 Make IT fair，一個由來自歐洲各地機構組成的新網絡團體，呼籲索尼、諾基亞、惠普和飛利浦等公司關注他們在採購金屬原料過程中可能面臨的道德與環境風險。 </w:t>
      </w:r>
      <w:r>
        <w:rPr>
          <w:rFonts w:cs="宋体" w:asciiTheme="minorEastAsia" w:hAnsiTheme="minorEastAsia"/>
          <w:color w:val="474747"/>
          <w:spacing w:val="14"/>
          <w:kern w:val="0"/>
          <w:sz w:val="24"/>
          <w:szCs w:val="24"/>
        </w:rPr>
        <w:br w:type="textWrapping"/>
      </w:r>
      <w:r>
        <w:rPr>
          <w:rFonts w:cs="宋体" w:asciiTheme="minorEastAsia" w:hAnsiTheme="minorEastAsia"/>
          <w:color w:val="474747"/>
          <w:spacing w:val="14"/>
          <w:kern w:val="0"/>
          <w:sz w:val="24"/>
          <w:szCs w:val="24"/>
        </w:rPr>
        <w:br w:type="textWrapping"/>
      </w:r>
      <w:r>
        <w:rPr>
          <w:rFonts w:cs="宋体" w:asciiTheme="minorEastAsia" w:hAnsiTheme="minorEastAsia"/>
          <w:color w:val="474747"/>
          <w:spacing w:val="14"/>
          <w:kern w:val="0"/>
          <w:sz w:val="24"/>
          <w:szCs w:val="24"/>
        </w:rPr>
        <w:t>另外，荷蘭組織 SOMO 也對此進行調查並對當地礦工的健康環境問題進行披露， SOMO 的 Esther de Haan 說，儘管電子消費品行業是許多金屬原料的重要消費者，但是許多金屬原料都是在諸如中國、俄羅斯、非洲這些高風險的國家開採，電子消費品行業並沒有直接開採這些金屬。迄今為止，他們仍沒有嘗試調查這些金屬原料的來源，但我們將督促他們關注其金屬原料的原產地並確保 IT 行業能公平對待世界各地的人們。</w:t>
      </w:r>
    </w:p>
    <w:p w14:paraId="53AA3576">
      <w:pPr>
        <w:widowControl/>
        <w:spacing w:line="360" w:lineRule="auto"/>
        <w:jc w:val="left"/>
        <w:textAlignment w:val="baseline"/>
        <w:rPr>
          <w:rFonts w:hint="eastAsia" w:ascii="inherit" w:hAnsi="inherit" w:eastAsia="宋体" w:cs="宋体"/>
          <w:color w:val="474747"/>
          <w:kern w:val="0"/>
          <w:sz w:val="24"/>
          <w:szCs w:val="24"/>
        </w:rPr>
      </w:pPr>
    </w:p>
    <w:p w14:paraId="4F0A4D5A">
      <w:pPr>
        <w:widowControl/>
        <w:jc w:val="left"/>
        <w:textAlignment w:val="baseline"/>
        <w:outlineLvl w:val="2"/>
        <w:rPr>
          <w:rFonts w:ascii="Arial" w:hAnsi="Arial" w:eastAsia="宋体" w:cs="Arial"/>
          <w:color w:val="474747"/>
          <w:spacing w:val="14"/>
          <w:kern w:val="0"/>
          <w:sz w:val="24"/>
          <w:szCs w:val="24"/>
        </w:rPr>
      </w:pPr>
      <w:r>
        <w:rPr>
          <w:rFonts w:ascii="Arial" w:hAnsi="Arial" w:eastAsia="宋体" w:cs="Arial"/>
          <w:spacing w:val="10"/>
          <w:kern w:val="0"/>
          <w:sz w:val="44"/>
          <w:szCs w:val="44"/>
        </w:rPr>
        <w:br w:type="textWrapping"/>
      </w:r>
    </w:p>
    <w:p w14:paraId="1142C036">
      <w:pPr>
        <w:widowControl/>
        <w:jc w:val="left"/>
        <w:textAlignment w:val="baseline"/>
        <w:outlineLvl w:val="2"/>
        <w:rPr>
          <w:rFonts w:ascii="Arial" w:hAnsi="Arial" w:eastAsia="宋体" w:cs="Arial"/>
          <w:color w:val="474747"/>
          <w:spacing w:val="14"/>
          <w:kern w:val="0"/>
          <w:sz w:val="24"/>
          <w:szCs w:val="24"/>
        </w:rPr>
      </w:pPr>
    </w:p>
    <w:p w14:paraId="3C6C6DBE">
      <w:pPr>
        <w:widowControl/>
        <w:jc w:val="left"/>
        <w:textAlignment w:val="baseline"/>
        <w:outlineLvl w:val="2"/>
        <w:rPr>
          <w:rFonts w:ascii="Arial" w:hAnsi="Arial" w:eastAsia="宋体" w:cs="Arial"/>
          <w:color w:val="474747"/>
          <w:spacing w:val="14"/>
          <w:kern w:val="0"/>
          <w:sz w:val="24"/>
          <w:szCs w:val="24"/>
        </w:rPr>
      </w:pPr>
    </w:p>
    <w:p w14:paraId="1DE6AAE9">
      <w:pPr>
        <w:widowControl/>
        <w:jc w:val="left"/>
        <w:textAlignment w:val="baseline"/>
        <w:outlineLvl w:val="2"/>
        <w:rPr>
          <w:rFonts w:ascii="Arial" w:hAnsi="Arial" w:eastAsia="宋体" w:cs="Arial"/>
          <w:color w:val="474747"/>
          <w:spacing w:val="14"/>
          <w:kern w:val="0"/>
          <w:sz w:val="24"/>
          <w:szCs w:val="24"/>
        </w:rPr>
      </w:pPr>
    </w:p>
    <w:p w14:paraId="696648D5">
      <w:pPr>
        <w:widowControl/>
        <w:jc w:val="left"/>
        <w:textAlignment w:val="baseline"/>
        <w:outlineLvl w:val="2"/>
        <w:rPr>
          <w:rFonts w:hint="eastAsia" w:ascii="Arial" w:hAnsi="Arial" w:eastAsia="宋体" w:cs="Arial"/>
          <w:color w:val="474747"/>
          <w:spacing w:val="14"/>
          <w:kern w:val="0"/>
          <w:sz w:val="24"/>
          <w:szCs w:val="24"/>
        </w:rPr>
      </w:pPr>
    </w:p>
    <w:p w14:paraId="798E9B12">
      <w:pPr>
        <w:widowControl/>
        <w:jc w:val="left"/>
        <w:textAlignment w:val="baseline"/>
        <w:outlineLvl w:val="2"/>
        <w:rPr>
          <w:rFonts w:ascii="Arial" w:hAnsi="Arial" w:eastAsia="宋体" w:cs="Arial"/>
          <w:color w:val="474747"/>
          <w:spacing w:val="14"/>
          <w:kern w:val="0"/>
          <w:sz w:val="24"/>
          <w:szCs w:val="24"/>
        </w:rPr>
      </w:pPr>
      <w:r>
        <w:rPr>
          <w:rFonts w:ascii="Arial" w:hAnsi="Arial" w:eastAsia="宋体" w:cs="Arial"/>
          <w:spacing w:val="10"/>
          <w:kern w:val="0"/>
          <w:sz w:val="44"/>
          <w:szCs w:val="44"/>
        </w:rPr>
        <w:t>品牌客戶及精元要求</w:t>
      </w:r>
    </w:p>
    <w:p w14:paraId="7CD2C2B8">
      <w:pPr>
        <w:widowControl/>
        <w:jc w:val="left"/>
        <w:textAlignment w:val="baseline"/>
        <w:outlineLvl w:val="2"/>
        <w:rPr>
          <w:rFonts w:ascii="Arial" w:hAnsi="Arial" w:eastAsia="宋体" w:cs="Arial"/>
          <w:color w:val="474747"/>
          <w:spacing w:val="14"/>
          <w:kern w:val="0"/>
          <w:sz w:val="24"/>
          <w:szCs w:val="24"/>
        </w:rPr>
      </w:pPr>
    </w:p>
    <w:p w14:paraId="0800ACE3">
      <w:pPr>
        <w:widowControl/>
        <w:jc w:val="left"/>
        <w:textAlignment w:val="baseline"/>
        <w:outlineLvl w:val="2"/>
        <w:rPr>
          <w:rFonts w:ascii="Arial" w:hAnsi="Arial" w:eastAsia="宋体" w:cs="Arial"/>
          <w:color w:val="474747"/>
          <w:spacing w:val="14"/>
          <w:kern w:val="0"/>
          <w:sz w:val="24"/>
          <w:szCs w:val="24"/>
        </w:rPr>
      </w:pPr>
    </w:p>
    <w:p w14:paraId="0CFFF9D0">
      <w:pPr>
        <w:widowControl/>
        <w:jc w:val="left"/>
        <w:textAlignment w:val="baseline"/>
        <w:outlineLvl w:val="2"/>
        <w:rPr>
          <w:rFonts w:hint="eastAsia" w:ascii="Arial" w:hAnsi="Arial" w:eastAsia="宋体" w:cs="Arial"/>
          <w:spacing w:val="10"/>
          <w:kern w:val="0"/>
          <w:sz w:val="44"/>
          <w:szCs w:val="44"/>
        </w:rPr>
      </w:pPr>
      <w:r>
        <w:drawing>
          <wp:anchor distT="0" distB="0" distL="114300" distR="114300" simplePos="0" relativeHeight="251660288" behindDoc="0" locked="0" layoutInCell="1" allowOverlap="1">
            <wp:simplePos x="0" y="0"/>
            <wp:positionH relativeFrom="margin">
              <wp:posOffset>8255</wp:posOffset>
            </wp:positionH>
            <wp:positionV relativeFrom="page">
              <wp:posOffset>1945640</wp:posOffset>
            </wp:positionV>
            <wp:extent cx="4183380" cy="2447925"/>
            <wp:effectExtent l="0" t="0" r="8255" b="0"/>
            <wp:wrapThrough wrapText="right">
              <wp:wrapPolygon>
                <wp:start x="0" y="0"/>
                <wp:lineTo x="0" y="21348"/>
                <wp:lineTo x="21544" y="21348"/>
                <wp:lineTo x="21544" y="0"/>
                <wp:lineTo x="0" y="0"/>
              </wp:wrapPolygon>
            </wp:wrapThrough>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183200" cy="2448000"/>
                    </a:xfrm>
                    <a:prstGeom prst="rect">
                      <a:avLst/>
                    </a:prstGeom>
                  </pic:spPr>
                </pic:pic>
              </a:graphicData>
            </a:graphic>
          </wp:anchor>
        </w:drawing>
      </w:r>
      <w:r>
        <w:rPr>
          <w:rFonts w:ascii="Arial" w:hAnsi="Arial" w:eastAsia="宋体" w:cs="Arial"/>
          <w:color w:val="474747"/>
          <w:spacing w:val="14"/>
          <w:kern w:val="0"/>
          <w:sz w:val="24"/>
          <w:szCs w:val="24"/>
        </w:rPr>
        <w:t>剛果非法礦區引起的社會環境問題已引起了精元客戶的關注。 為了應對客戶的要求和履行企業社會環境責任，精元已要求供應商在金屬供應鏈中應承擔以下責任：</w:t>
      </w:r>
    </w:p>
    <w:p w14:paraId="6AA1021B">
      <w:pPr>
        <w:widowControl/>
        <w:jc w:val="left"/>
        <w:textAlignment w:val="baseline"/>
        <w:rPr>
          <w:rFonts w:ascii="Arial" w:hAnsi="Arial" w:eastAsia="宋体" w:cs="Arial"/>
          <w:color w:val="474747"/>
          <w:spacing w:val="14"/>
          <w:kern w:val="0"/>
          <w:sz w:val="24"/>
          <w:szCs w:val="24"/>
        </w:rPr>
      </w:pPr>
    </w:p>
    <w:p w14:paraId="16558368">
      <w:pPr>
        <w:widowControl/>
        <w:numPr>
          <w:ilvl w:val="0"/>
          <w:numId w:val="2"/>
        </w:numPr>
        <w:spacing w:line="360" w:lineRule="auto"/>
        <w:ind w:left="300" w:leftChars="0" w:hanging="360" w:firstLineChars="0"/>
        <w:jc w:val="left"/>
        <w:textAlignment w:val="baseline"/>
        <w:rPr>
          <w:rFonts w:cs="Arial" w:asciiTheme="minorEastAsia" w:hAnsiTheme="minorEastAsia"/>
          <w:color w:val="474747"/>
          <w:kern w:val="0"/>
          <w:sz w:val="24"/>
          <w:szCs w:val="24"/>
        </w:rPr>
      </w:pPr>
      <w:r>
        <w:rPr>
          <w:rFonts w:cs="Arial" w:asciiTheme="minorEastAsia" w:hAnsiTheme="minorEastAsia"/>
          <w:color w:val="474747"/>
          <w:kern w:val="0"/>
          <w:sz w:val="24"/>
          <w:szCs w:val="24"/>
        </w:rPr>
        <w:t>不使用非法礦區的金屬，以及低劣工作環境採礦而來的金屬。</w:t>
      </w:r>
    </w:p>
    <w:p w14:paraId="0043C241">
      <w:pPr>
        <w:widowControl/>
        <w:numPr>
          <w:ilvl w:val="0"/>
          <w:numId w:val="2"/>
        </w:numPr>
        <w:spacing w:before="60" w:line="360" w:lineRule="auto"/>
        <w:ind w:left="300" w:leftChars="0" w:hanging="360" w:firstLineChars="0"/>
        <w:jc w:val="left"/>
        <w:textAlignment w:val="baseline"/>
        <w:rPr>
          <w:rFonts w:cs="Arial" w:asciiTheme="minorEastAsia" w:hAnsiTheme="minorEastAsia"/>
          <w:color w:val="474747"/>
          <w:kern w:val="0"/>
          <w:sz w:val="24"/>
          <w:szCs w:val="24"/>
        </w:rPr>
      </w:pPr>
      <w:r>
        <w:rPr>
          <w:rFonts w:cs="Arial" w:asciiTheme="minorEastAsia" w:hAnsiTheme="minorEastAsia"/>
          <w:color w:val="474747"/>
          <w:kern w:val="0"/>
          <w:sz w:val="24"/>
          <w:szCs w:val="24"/>
        </w:rPr>
        <w:t>要求上游供應商不得使用來自剛果民主共和國非法礦區的金屬。</w:t>
      </w:r>
    </w:p>
    <w:p w14:paraId="3FAD2D34">
      <w:pPr>
        <w:widowControl/>
        <w:numPr>
          <w:ilvl w:val="0"/>
          <w:numId w:val="2"/>
        </w:numPr>
        <w:spacing w:before="60" w:line="360" w:lineRule="auto"/>
        <w:ind w:left="300" w:leftChars="0" w:hanging="360" w:firstLineChars="0"/>
        <w:jc w:val="left"/>
        <w:textAlignment w:val="baseline"/>
        <w:rPr>
          <w:rFonts w:cs="Arial" w:asciiTheme="minorEastAsia" w:hAnsiTheme="minorEastAsia"/>
          <w:color w:val="474747"/>
          <w:kern w:val="0"/>
          <w:sz w:val="24"/>
          <w:szCs w:val="24"/>
        </w:rPr>
      </w:pPr>
      <w:r>
        <w:rPr>
          <w:rFonts w:cs="Arial" w:asciiTheme="minorEastAsia" w:hAnsiTheme="minorEastAsia"/>
          <w:color w:val="474747"/>
          <w:kern w:val="0"/>
          <w:sz w:val="24"/>
          <w:szCs w:val="24"/>
        </w:rPr>
        <w:t>回溯所有產品中所含的涉及“血礦”金屬﹐如金(Au)，鈀(Pd¬)，鉭(Ta)，錫(Sn)和鎢(W)等，以查明這些金屬的礦區。</w:t>
      </w:r>
    </w:p>
    <w:p w14:paraId="1EF5CBAF">
      <w:pPr>
        <w:keepNext w:val="0"/>
        <w:keepLines w:val="0"/>
        <w:pageBreakBefore w:val="0"/>
        <w:widowControl/>
        <w:numPr>
          <w:ilvl w:val="0"/>
          <w:numId w:val="2"/>
        </w:numPr>
        <w:kinsoku w:val="0"/>
        <w:wordWrap/>
        <w:overflowPunct/>
        <w:topLinePunct w:val="0"/>
        <w:autoSpaceDE/>
        <w:autoSpaceDN/>
        <w:bidi w:val="0"/>
        <w:adjustRightInd/>
        <w:snapToGrid w:val="0"/>
        <w:spacing w:before="60" w:line="360" w:lineRule="auto"/>
        <w:ind w:left="300" w:leftChars="0" w:hanging="363" w:firstLineChars="0"/>
        <w:jc w:val="left"/>
        <w:textAlignment w:val="baseline"/>
        <w:rPr>
          <w:rFonts w:cs="Arial" w:asciiTheme="minorEastAsia" w:hAnsiTheme="minorEastAsia"/>
          <w:color w:val="474747"/>
          <w:kern w:val="0"/>
          <w:sz w:val="24"/>
          <w:szCs w:val="24"/>
        </w:rPr>
      </w:pPr>
      <w:r>
        <w:rPr>
          <w:rFonts w:cs="Arial" w:asciiTheme="minorEastAsia" w:hAnsiTheme="minorEastAsia"/>
          <w:color w:val="474747"/>
          <w:kern w:val="0"/>
          <w:sz w:val="24"/>
          <w:szCs w:val="24"/>
        </w:rPr>
        <w:t>配合精元及精元客戶展開金屬來源調查，以確保不使用來自非法礦</w:t>
      </w:r>
      <w:r>
        <w:rPr>
          <w:rFonts w:hint="eastAsia" w:cs="Arial" w:asciiTheme="minorEastAsia" w:hAnsiTheme="minorEastAsia"/>
          <w:color w:val="474747"/>
          <w:kern w:val="0"/>
          <w:sz w:val="24"/>
          <w:szCs w:val="24"/>
          <w:lang w:val="en-US" w:eastAsia="zh-CN"/>
        </w:rPr>
        <w:t xml:space="preserve">   </w:t>
      </w:r>
      <w:r>
        <w:rPr>
          <w:rFonts w:cs="Arial" w:asciiTheme="minorEastAsia" w:hAnsiTheme="minorEastAsia"/>
          <w:color w:val="474747"/>
          <w:kern w:val="0"/>
          <w:sz w:val="24"/>
          <w:szCs w:val="24"/>
        </w:rPr>
        <w:t>區的金屬。</w:t>
      </w:r>
    </w:p>
    <w:p w14:paraId="2C796854">
      <w:pPr>
        <w:widowControl/>
        <w:spacing w:line="360" w:lineRule="auto"/>
        <w:jc w:val="left"/>
        <w:textAlignment w:val="baseline"/>
        <w:rPr>
          <w:rFonts w:hint="eastAsia" w:ascii="inherit" w:hAnsi="inherit" w:eastAsia="宋体" w:cs="宋体"/>
          <w:color w:val="474747"/>
          <w:kern w:val="0"/>
          <w:sz w:val="24"/>
          <w:szCs w:val="24"/>
        </w:rPr>
      </w:pPr>
    </w:p>
    <w:p w14:paraId="1C991B8F">
      <w:pPr>
        <w:widowControl/>
        <w:jc w:val="left"/>
        <w:textAlignment w:val="baseline"/>
        <w:rPr>
          <w:rFonts w:ascii="inherit" w:hAnsi="inherit" w:eastAsia="宋体" w:cs="宋体"/>
          <w:color w:val="474747"/>
          <w:spacing w:val="14"/>
          <w:kern w:val="0"/>
          <w:sz w:val="28"/>
          <w:szCs w:val="28"/>
        </w:rPr>
      </w:pPr>
    </w:p>
    <w:p w14:paraId="766EFBA4">
      <w:pPr>
        <w:widowControl/>
        <w:jc w:val="left"/>
        <w:textAlignment w:val="baseline"/>
        <w:rPr>
          <w:rFonts w:ascii="inherit" w:hAnsi="inherit" w:eastAsia="宋体" w:cs="宋体"/>
          <w:color w:val="474747"/>
          <w:spacing w:val="14"/>
          <w:kern w:val="0"/>
          <w:sz w:val="28"/>
          <w:szCs w:val="28"/>
        </w:rPr>
      </w:pPr>
    </w:p>
    <w:p w14:paraId="6A0A5795">
      <w:pPr>
        <w:widowControl/>
        <w:jc w:val="left"/>
        <w:textAlignment w:val="baseline"/>
        <w:rPr>
          <w:rFonts w:ascii="inherit" w:hAnsi="inherit" w:eastAsia="宋体" w:cs="宋体"/>
          <w:color w:val="474747"/>
          <w:spacing w:val="14"/>
          <w:kern w:val="0"/>
          <w:sz w:val="28"/>
          <w:szCs w:val="28"/>
        </w:rPr>
      </w:pPr>
    </w:p>
    <w:p w14:paraId="653388C4">
      <w:pPr>
        <w:widowControl/>
        <w:jc w:val="left"/>
        <w:textAlignment w:val="baseline"/>
        <w:rPr>
          <w:rFonts w:ascii="inherit" w:hAnsi="inherit" w:eastAsia="宋体" w:cs="宋体"/>
          <w:color w:val="474747"/>
          <w:spacing w:val="14"/>
          <w:kern w:val="0"/>
          <w:sz w:val="28"/>
          <w:szCs w:val="28"/>
        </w:rPr>
      </w:pPr>
    </w:p>
    <w:p w14:paraId="10FD11D4">
      <w:pPr>
        <w:widowControl/>
        <w:jc w:val="left"/>
        <w:textAlignment w:val="baseline"/>
        <w:rPr>
          <w:rFonts w:ascii="inherit" w:hAnsi="inherit" w:eastAsia="宋体" w:cs="宋体"/>
          <w:color w:val="474747"/>
          <w:spacing w:val="14"/>
          <w:kern w:val="0"/>
          <w:sz w:val="28"/>
          <w:szCs w:val="28"/>
        </w:rPr>
      </w:pPr>
      <w:r>
        <w:rPr>
          <w:rFonts w:ascii="inherit" w:hAnsi="inherit" w:eastAsia="宋体" w:cs="宋体"/>
          <w:color w:val="474747"/>
          <w:spacing w:val="14"/>
          <w:kern w:val="0"/>
          <w:sz w:val="28"/>
          <w:szCs w:val="28"/>
        </w:rPr>
        <w:t>參考資料:</w:t>
      </w:r>
    </w:p>
    <w:p w14:paraId="4698DD82">
      <w:pPr>
        <w:widowControl/>
        <w:numPr>
          <w:ilvl w:val="0"/>
          <w:numId w:val="3"/>
        </w:numPr>
        <w:ind w:left="300"/>
        <w:jc w:val="left"/>
        <w:textAlignment w:val="baseline"/>
        <w:rPr>
          <w:rFonts w:ascii="inherit" w:hAnsi="inherit" w:eastAsia="宋体" w:cs="宋体"/>
          <w:color w:val="474747"/>
          <w:kern w:val="0"/>
          <w:sz w:val="28"/>
          <w:szCs w:val="28"/>
        </w:rPr>
      </w:pPr>
      <w:r>
        <w:rPr>
          <w:rFonts w:ascii="inherit" w:hAnsi="inherit" w:eastAsia="宋体" w:cs="宋体"/>
          <w:color w:val="474747"/>
          <w:kern w:val="0"/>
          <w:sz w:val="28"/>
          <w:szCs w:val="28"/>
        </w:rPr>
        <w:t>EICC &amp; GeSI, June 2008, </w:t>
      </w:r>
      <w:r>
        <w:fldChar w:fldCharType="begin"/>
      </w:r>
      <w:r>
        <w:instrText xml:space="preserve"> HYPERLINK "http://www.gesi.org/" \t "_blank" </w:instrText>
      </w:r>
      <w:r>
        <w:fldChar w:fldCharType="separate"/>
      </w:r>
      <w:r>
        <w:rPr>
          <w:rFonts w:ascii="inherit" w:hAnsi="inherit" w:eastAsia="宋体" w:cs="宋体"/>
          <w:color w:val="911582"/>
          <w:kern w:val="0"/>
          <w:sz w:val="28"/>
          <w:szCs w:val="28"/>
          <w:u w:val="single"/>
        </w:rPr>
        <w:t>Social and Environmental Responsibility in Metals Supply to the Electronic Industry</w:t>
      </w:r>
      <w:r>
        <w:rPr>
          <w:rFonts w:ascii="inherit" w:hAnsi="inherit" w:eastAsia="宋体" w:cs="宋体"/>
          <w:color w:val="911582"/>
          <w:kern w:val="0"/>
          <w:sz w:val="28"/>
          <w:szCs w:val="28"/>
          <w:u w:val="single"/>
        </w:rPr>
        <w:fldChar w:fldCharType="end"/>
      </w:r>
    </w:p>
    <w:p w14:paraId="094B68BC">
      <w:pPr>
        <w:widowControl/>
        <w:numPr>
          <w:ilvl w:val="0"/>
          <w:numId w:val="3"/>
        </w:numPr>
        <w:ind w:left="300"/>
        <w:jc w:val="left"/>
        <w:textAlignment w:val="baseline"/>
        <w:rPr>
          <w:rFonts w:ascii="inherit" w:hAnsi="inherit" w:eastAsia="宋体" w:cs="宋体"/>
          <w:color w:val="474747"/>
          <w:kern w:val="0"/>
          <w:sz w:val="28"/>
          <w:szCs w:val="28"/>
        </w:rPr>
      </w:pPr>
      <w:r>
        <w:rPr>
          <w:rFonts w:ascii="inherit" w:hAnsi="inherit" w:eastAsia="宋体" w:cs="宋体"/>
          <w:color w:val="474747"/>
          <w:kern w:val="0"/>
          <w:sz w:val="28"/>
          <w:szCs w:val="28"/>
        </w:rPr>
        <w:t>Michael Renner, </w:t>
      </w:r>
      <w:r>
        <w:fldChar w:fldCharType="begin"/>
      </w:r>
      <w:r>
        <w:instrText xml:space="preserve"> HYPERLINK "http://tierra.rediris.es/coltan/coltanreport.pdf" \t "_blank" </w:instrText>
      </w:r>
      <w:r>
        <w:fldChar w:fldCharType="separate"/>
      </w:r>
      <w:r>
        <w:rPr>
          <w:rFonts w:ascii="inherit" w:hAnsi="inherit" w:eastAsia="宋体" w:cs="宋体"/>
          <w:color w:val="911582"/>
          <w:kern w:val="0"/>
          <w:sz w:val="28"/>
          <w:szCs w:val="28"/>
          <w:u w:val="single"/>
        </w:rPr>
        <w:t>Cotan Mining in the Democratic Republic of Congo: How tantalum-using industries can commit to the reconstruction of the DRC, Fauna&amp;Flora International</w:t>
      </w:r>
      <w:r>
        <w:rPr>
          <w:rFonts w:ascii="inherit" w:hAnsi="inherit" w:eastAsia="宋体" w:cs="宋体"/>
          <w:color w:val="911582"/>
          <w:kern w:val="0"/>
          <w:sz w:val="28"/>
          <w:szCs w:val="28"/>
          <w:u w:val="single"/>
        </w:rPr>
        <w:fldChar w:fldCharType="end"/>
      </w:r>
    </w:p>
    <w:p w14:paraId="7796120F">
      <w:pPr>
        <w:widowControl/>
        <w:numPr>
          <w:ilvl w:val="0"/>
          <w:numId w:val="3"/>
        </w:numPr>
        <w:spacing w:before="60"/>
        <w:ind w:left="300"/>
        <w:jc w:val="left"/>
        <w:textAlignment w:val="baseline"/>
        <w:rPr>
          <w:rFonts w:ascii="inherit" w:hAnsi="inherit" w:eastAsia="宋体" w:cs="宋体"/>
          <w:color w:val="474747"/>
          <w:kern w:val="0"/>
          <w:sz w:val="28"/>
          <w:szCs w:val="28"/>
        </w:rPr>
      </w:pPr>
      <w:r>
        <w:rPr>
          <w:rFonts w:ascii="inherit" w:hAnsi="inherit" w:eastAsia="宋体" w:cs="宋体"/>
          <w:color w:val="474747"/>
          <w:kern w:val="0"/>
          <w:sz w:val="28"/>
          <w:szCs w:val="28"/>
        </w:rPr>
        <w:t>Michael Renner ,Breaking the Link between Resources and Repression.State of the World 2002 pp.149 - 173.</w:t>
      </w:r>
    </w:p>
    <w:p w14:paraId="5A9AFD02"/>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inherit">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73AEC"/>
    <w:multiLevelType w:val="multilevel"/>
    <w:tmpl w:val="20773AEC"/>
    <w:lvl w:ilvl="0" w:tentative="0">
      <w:start w:val="1"/>
      <w:numFmt w:val="decimal"/>
      <w:lvlText w:val="%1."/>
      <w:lvlJc w:val="left"/>
      <w:pPr>
        <w:tabs>
          <w:tab w:val="left" w:pos="720"/>
        </w:tabs>
        <w:ind w:left="720" w:hanging="360"/>
      </w:pPr>
      <w:rPr>
        <w:color w:val="CC00FF"/>
        <w:sz w:val="18"/>
        <w:szCs w:val="18"/>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F496490"/>
    <w:multiLevelType w:val="singleLevel"/>
    <w:tmpl w:val="3F496490"/>
    <w:lvl w:ilvl="0" w:tentative="0">
      <w:start w:val="1"/>
      <w:numFmt w:val="bullet"/>
      <w:lvlText w:val=""/>
      <w:lvlJc w:val="left"/>
      <w:pPr>
        <w:ind w:left="420" w:hanging="420"/>
      </w:pPr>
      <w:rPr>
        <w:rFonts w:hint="default" w:ascii="Wingdings" w:hAnsi="Wingdings"/>
      </w:rPr>
    </w:lvl>
  </w:abstractNum>
  <w:abstractNum w:abstractNumId="2">
    <w:nsid w:val="48010E08"/>
    <w:multiLevelType w:val="multilevel"/>
    <w:tmpl w:val="48010E0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CAC"/>
    <w:rsid w:val="001E5F73"/>
    <w:rsid w:val="00546CAC"/>
    <w:rsid w:val="008A26FE"/>
    <w:rsid w:val="00BB3E08"/>
    <w:rsid w:val="00EC59B9"/>
    <w:rsid w:val="11BC3F3A"/>
    <w:rsid w:val="55E52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9"/>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paragraph" w:styleId="4">
    <w:name w:val="heading 6"/>
    <w:basedOn w:val="1"/>
    <w:link w:val="11"/>
    <w:qFormat/>
    <w:uiPriority w:val="9"/>
    <w:pPr>
      <w:widowControl/>
      <w:spacing w:before="100" w:beforeAutospacing="1" w:after="100" w:afterAutospacing="1"/>
      <w:jc w:val="left"/>
      <w:outlineLvl w:val="5"/>
    </w:pPr>
    <w:rPr>
      <w:rFonts w:ascii="宋体" w:hAnsi="宋体" w:eastAsia="宋体" w:cs="宋体"/>
      <w:b/>
      <w:bCs/>
      <w:kern w:val="0"/>
      <w:sz w:val="15"/>
      <w:szCs w:val="15"/>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标题 2 Char"/>
    <w:basedOn w:val="7"/>
    <w:link w:val="2"/>
    <w:qFormat/>
    <w:uiPriority w:val="9"/>
    <w:rPr>
      <w:rFonts w:ascii="宋体" w:hAnsi="宋体" w:eastAsia="宋体" w:cs="宋体"/>
      <w:b/>
      <w:bCs/>
      <w:kern w:val="0"/>
      <w:sz w:val="36"/>
      <w:szCs w:val="36"/>
    </w:rPr>
  </w:style>
  <w:style w:type="character" w:customStyle="1" w:styleId="10">
    <w:name w:val="标题 3 Char"/>
    <w:basedOn w:val="7"/>
    <w:link w:val="3"/>
    <w:qFormat/>
    <w:uiPriority w:val="9"/>
    <w:rPr>
      <w:rFonts w:ascii="宋体" w:hAnsi="宋体" w:eastAsia="宋体" w:cs="宋体"/>
      <w:b/>
      <w:bCs/>
      <w:kern w:val="0"/>
      <w:sz w:val="27"/>
      <w:szCs w:val="27"/>
    </w:rPr>
  </w:style>
  <w:style w:type="character" w:customStyle="1" w:styleId="11">
    <w:name w:val="标题 6 Char"/>
    <w:basedOn w:val="7"/>
    <w:link w:val="4"/>
    <w:qFormat/>
    <w:uiPriority w:val="9"/>
    <w:rPr>
      <w:rFonts w:ascii="宋体" w:hAnsi="宋体" w:eastAsia="宋体" w:cs="宋体"/>
      <w:b/>
      <w:bCs/>
      <w:kern w:val="0"/>
      <w:sz w:val="15"/>
      <w:szCs w:val="15"/>
    </w:rPr>
  </w:style>
  <w:style w:type="character" w:customStyle="1" w:styleId="12">
    <w:name w:val="text-whit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1501</Words>
  <Characters>1819</Characters>
  <Lines>14</Lines>
  <Paragraphs>4</Paragraphs>
  <TotalTime>23</TotalTime>
  <ScaleCrop>false</ScaleCrop>
  <LinksUpToDate>false</LinksUpToDate>
  <CharactersWithSpaces>1901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2025-01-14T02:51:00Z</dcterms:created>
  <dc:creator>KB0729</dc:creator>
  <cp:lastModifiedBy>千年老妖</cp:lastModifiedBy>
  <dcterms:modified xsi:type="dcterms:W3CDTF">2025-01-14T05:23:15Z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eyJoZGlkIjoiYzYyYmNmYTcyYWM0OWU0NTg2OTgwNzY5Mzg2N2YxMDYiLCJ1c2VySWQiOiIxNjAzOTUzNDcyIn0=</vt:lpwstr>
  </property>
  <property fmtid="{D5CDD505-2E9C-101B-9397-08002B2CF9AE}" pid="3" name="KSOProductBuildVer">
    <vt:lpwstr>2052-12.1.0.19770</vt:lpwstr>
  </property>
  <property fmtid="{D5CDD505-2E9C-101B-9397-08002B2CF9AE}" pid="4" name="ICV">
    <vt:lpwstr>BB0DA3F32A684D28A1FE003453890EC6_12</vt:lpwstr>
  </property>
</Properties>
</file>